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59" w:rsidRPr="005F6259" w:rsidRDefault="005F6259" w:rsidP="005F6259">
      <w:pPr>
        <w:autoSpaceDE w:val="0"/>
        <w:autoSpaceDN w:val="0"/>
        <w:adjustRightInd w:val="0"/>
        <w:spacing w:after="0" w:line="240" w:lineRule="auto"/>
        <w:jc w:val="center"/>
        <w:rPr>
          <w:rFonts w:cs="ITCGaramondStd-LtIta"/>
          <w:iCs/>
          <w:color w:val="000000"/>
          <w:sz w:val="52"/>
          <w:szCs w:val="52"/>
        </w:rPr>
      </w:pPr>
      <w:r w:rsidRPr="005F6259">
        <w:rPr>
          <w:rFonts w:cs="ITCGaramondStd-LtIta"/>
          <w:iCs/>
          <w:color w:val="FF0000"/>
          <w:sz w:val="52"/>
          <w:szCs w:val="52"/>
        </w:rPr>
        <w:t>Vient de paraître aux Editions de la Rhune</w:t>
      </w:r>
    </w:p>
    <w:p w:rsidR="005F6259" w:rsidRDefault="005F6259" w:rsidP="005F6259">
      <w:pPr>
        <w:autoSpaceDE w:val="0"/>
        <w:autoSpaceDN w:val="0"/>
        <w:adjustRightInd w:val="0"/>
        <w:spacing w:after="0" w:line="240" w:lineRule="auto"/>
        <w:jc w:val="center"/>
        <w:rPr>
          <w:rFonts w:cs="ITCGaramondStd-LtIta"/>
          <w:iCs/>
          <w:color w:val="000000"/>
          <w:sz w:val="24"/>
          <w:szCs w:val="24"/>
        </w:rPr>
      </w:pPr>
    </w:p>
    <w:p w:rsidR="00604D98" w:rsidRPr="008823B0" w:rsidRDefault="009C3DF7" w:rsidP="005F6259">
      <w:pPr>
        <w:autoSpaceDE w:val="0"/>
        <w:autoSpaceDN w:val="0"/>
        <w:adjustRightInd w:val="0"/>
        <w:spacing w:after="0" w:line="240" w:lineRule="auto"/>
        <w:jc w:val="both"/>
        <w:rPr>
          <w:rFonts w:cs="ITCGaramondStd-LtIta"/>
          <w:iCs/>
          <w:color w:val="FF0000"/>
          <w:sz w:val="24"/>
          <w:szCs w:val="24"/>
          <w:u w:val="single"/>
        </w:rPr>
      </w:pPr>
      <w:r>
        <w:rPr>
          <w:noProof/>
          <w:lang w:eastAsia="fr-FR"/>
        </w:rPr>
        <w:drawing>
          <wp:anchor distT="0" distB="0" distL="114300" distR="114300" simplePos="0" relativeHeight="251658240" behindDoc="1" locked="0" layoutInCell="1" allowOverlap="1" wp14:anchorId="74AAE78A" wp14:editId="5B818361">
            <wp:simplePos x="0" y="0"/>
            <wp:positionH relativeFrom="column">
              <wp:posOffset>-9525</wp:posOffset>
            </wp:positionH>
            <wp:positionV relativeFrom="paragraph">
              <wp:posOffset>39370</wp:posOffset>
            </wp:positionV>
            <wp:extent cx="2991485" cy="4201160"/>
            <wp:effectExtent l="0" t="0" r="0" b="8890"/>
            <wp:wrapTight wrapText="bothSides">
              <wp:wrapPolygon edited="0">
                <wp:start x="0" y="0"/>
                <wp:lineTo x="0" y="21548"/>
                <wp:lineTo x="21458" y="21548"/>
                <wp:lineTo x="2145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91485" cy="4201160"/>
                    </a:xfrm>
                    <a:prstGeom prst="rect">
                      <a:avLst/>
                    </a:prstGeom>
                  </pic:spPr>
                </pic:pic>
              </a:graphicData>
            </a:graphic>
            <wp14:sizeRelH relativeFrom="margin">
              <wp14:pctWidth>0</wp14:pctWidth>
            </wp14:sizeRelH>
            <wp14:sizeRelV relativeFrom="margin">
              <wp14:pctHeight>0</wp14:pctHeight>
            </wp14:sizeRelV>
          </wp:anchor>
        </w:drawing>
      </w:r>
      <w:r w:rsidR="008823B0" w:rsidRPr="008823B0">
        <w:rPr>
          <w:rFonts w:cs="ITCGaramondStd-LtIta"/>
          <w:iCs/>
          <w:color w:val="FF0000"/>
          <w:sz w:val="24"/>
          <w:szCs w:val="24"/>
          <w:u w:val="single"/>
        </w:rPr>
        <w:t>L</w:t>
      </w:r>
      <w:r w:rsidR="00604D98" w:rsidRPr="008823B0">
        <w:rPr>
          <w:rFonts w:cs="ITCGaramondStd-LtIta"/>
          <w:iCs/>
          <w:color w:val="FF0000"/>
          <w:sz w:val="24"/>
          <w:szCs w:val="24"/>
          <w:u w:val="single"/>
        </w:rPr>
        <w:t>’auteur :</w:t>
      </w:r>
    </w:p>
    <w:p w:rsidR="00256A28" w:rsidRPr="001601BB" w:rsidRDefault="00256A28" w:rsidP="00256A28">
      <w:pPr>
        <w:autoSpaceDE w:val="0"/>
        <w:autoSpaceDN w:val="0"/>
        <w:adjustRightInd w:val="0"/>
        <w:spacing w:after="0" w:line="240" w:lineRule="auto"/>
        <w:jc w:val="both"/>
        <w:rPr>
          <w:rFonts w:cs="ITCGaramondStd-LtIta"/>
          <w:iCs/>
          <w:sz w:val="24"/>
          <w:szCs w:val="24"/>
        </w:rPr>
      </w:pPr>
    </w:p>
    <w:p w:rsidR="00256A28" w:rsidRDefault="00256A28" w:rsidP="00256A28">
      <w:pPr>
        <w:autoSpaceDE w:val="0"/>
        <w:autoSpaceDN w:val="0"/>
        <w:adjustRightInd w:val="0"/>
        <w:spacing w:after="0" w:line="240" w:lineRule="auto"/>
        <w:jc w:val="both"/>
        <w:rPr>
          <w:i/>
          <w:iCs/>
        </w:rPr>
      </w:pPr>
      <w:r w:rsidRPr="001601BB">
        <w:rPr>
          <w:rStyle w:val="Accentuation"/>
          <w:rFonts w:cs="Arial"/>
          <w:i w:val="0"/>
          <w:sz w:val="24"/>
          <w:szCs w:val="24"/>
          <w:shd w:val="clear" w:color="auto" w:fill="FFFFFF"/>
        </w:rPr>
        <w:t xml:space="preserve">Aujourd’hui </w:t>
      </w:r>
      <w:proofErr w:type="spellStart"/>
      <w:r w:rsidRPr="001601BB">
        <w:rPr>
          <w:rStyle w:val="Accentuation"/>
          <w:rFonts w:cs="Arial"/>
          <w:i w:val="0"/>
          <w:sz w:val="24"/>
          <w:szCs w:val="24"/>
          <w:shd w:val="clear" w:color="auto" w:fill="FFFFFF"/>
        </w:rPr>
        <w:t>Urruñar</w:t>
      </w:r>
      <w:proofErr w:type="spellEnd"/>
      <w:r w:rsidRPr="001601BB">
        <w:rPr>
          <w:rStyle w:val="Accentuation"/>
          <w:rFonts w:cs="Arial"/>
          <w:i w:val="0"/>
          <w:sz w:val="24"/>
          <w:szCs w:val="24"/>
          <w:shd w:val="clear" w:color="auto" w:fill="FFFFFF"/>
        </w:rPr>
        <w:t xml:space="preserve">, il est un descendant de pêcheurs Hendayais et Malouins. </w:t>
      </w:r>
      <w:r w:rsidRPr="001601BB">
        <w:rPr>
          <w:iCs/>
          <w:sz w:val="24"/>
          <w:szCs w:val="24"/>
        </w:rPr>
        <w:t xml:space="preserve">Cheminant de Sare à Ciboure, d’Ascain à la </w:t>
      </w:r>
      <w:proofErr w:type="spellStart"/>
      <w:r w:rsidRPr="001601BB">
        <w:rPr>
          <w:iCs/>
          <w:sz w:val="24"/>
          <w:szCs w:val="24"/>
        </w:rPr>
        <w:t>Bidasoa</w:t>
      </w:r>
      <w:proofErr w:type="spellEnd"/>
      <w:r w:rsidRPr="001601BB">
        <w:rPr>
          <w:iCs/>
          <w:sz w:val="24"/>
          <w:szCs w:val="24"/>
        </w:rPr>
        <w:t>, ce randonneur passionné offre ici quelques contes pour nous révéler  les merveilles de ce pays de chants et de légendes</w:t>
      </w:r>
      <w:r>
        <w:rPr>
          <w:i/>
          <w:iCs/>
        </w:rPr>
        <w:t>.</w:t>
      </w:r>
    </w:p>
    <w:p w:rsidR="00256A28" w:rsidRPr="009C3DF7" w:rsidRDefault="00256A28" w:rsidP="00256A28">
      <w:pPr>
        <w:autoSpaceDE w:val="0"/>
        <w:autoSpaceDN w:val="0"/>
        <w:adjustRightInd w:val="0"/>
        <w:spacing w:after="0" w:line="240" w:lineRule="auto"/>
        <w:rPr>
          <w:rFonts w:cs="ITCGaramondStd-LtIta"/>
          <w:i/>
          <w:iCs/>
          <w:sz w:val="24"/>
          <w:szCs w:val="24"/>
        </w:rPr>
      </w:pPr>
    </w:p>
    <w:p w:rsidR="00604D98" w:rsidRDefault="00CA15F3" w:rsidP="00604D98">
      <w:pPr>
        <w:autoSpaceDE w:val="0"/>
        <w:autoSpaceDN w:val="0"/>
        <w:adjustRightInd w:val="0"/>
        <w:spacing w:after="0" w:line="240" w:lineRule="auto"/>
        <w:jc w:val="both"/>
        <w:rPr>
          <w:rFonts w:cs="ITCGaramondStd-LtIta"/>
          <w:iCs/>
          <w:color w:val="FF0000"/>
          <w:sz w:val="24"/>
          <w:szCs w:val="24"/>
          <w:u w:val="single"/>
        </w:rPr>
      </w:pPr>
      <w:bookmarkStart w:id="0" w:name="_GoBack"/>
      <w:bookmarkEnd w:id="0"/>
      <w:r>
        <w:rPr>
          <w:rFonts w:cs="ITCGaramondStd-LtIta"/>
          <w:iCs/>
          <w:color w:val="FF0000"/>
          <w:sz w:val="24"/>
          <w:szCs w:val="24"/>
          <w:u w:val="single"/>
        </w:rPr>
        <w:t>La fibule d’or</w:t>
      </w:r>
    </w:p>
    <w:p w:rsidR="005C0A9D" w:rsidRDefault="005C0A9D" w:rsidP="00604D98">
      <w:pPr>
        <w:autoSpaceDE w:val="0"/>
        <w:autoSpaceDN w:val="0"/>
        <w:adjustRightInd w:val="0"/>
        <w:spacing w:after="0" w:line="240" w:lineRule="auto"/>
        <w:jc w:val="both"/>
        <w:rPr>
          <w:rFonts w:cs="ITCGaramondStd-LtIta"/>
          <w:iCs/>
          <w:color w:val="FF0000"/>
          <w:sz w:val="24"/>
          <w:szCs w:val="24"/>
          <w:u w:val="single"/>
        </w:rPr>
      </w:pPr>
    </w:p>
    <w:p w:rsidR="009C3DF7" w:rsidRPr="009C3DF7" w:rsidRDefault="009C3DF7" w:rsidP="009C3DF7">
      <w:pPr>
        <w:autoSpaceDE w:val="0"/>
        <w:autoSpaceDN w:val="0"/>
        <w:adjustRightInd w:val="0"/>
        <w:spacing w:after="0" w:line="240" w:lineRule="auto"/>
        <w:jc w:val="both"/>
        <w:rPr>
          <w:rFonts w:cs="ITCGaramondStd-Lt"/>
          <w:sz w:val="24"/>
          <w:szCs w:val="24"/>
        </w:rPr>
      </w:pPr>
      <w:r w:rsidRPr="009C3DF7">
        <w:rPr>
          <w:rFonts w:cs="Arial"/>
          <w:sz w:val="24"/>
          <w:szCs w:val="24"/>
          <w:shd w:val="clear" w:color="auto" w:fill="FFFFFF"/>
        </w:rPr>
        <w:t xml:space="preserve">Il y a fort longtemps, régnait sur la paroisse de </w:t>
      </w:r>
      <w:proofErr w:type="spellStart"/>
      <w:r w:rsidRPr="009C3DF7">
        <w:rPr>
          <w:rFonts w:cs="Arial"/>
          <w:sz w:val="24"/>
          <w:szCs w:val="24"/>
          <w:shd w:val="clear" w:color="auto" w:fill="FFFFFF"/>
        </w:rPr>
        <w:t>Bera</w:t>
      </w:r>
      <w:proofErr w:type="spellEnd"/>
      <w:r w:rsidRPr="009C3DF7">
        <w:rPr>
          <w:rFonts w:cs="Arial"/>
          <w:sz w:val="24"/>
          <w:szCs w:val="24"/>
          <w:shd w:val="clear" w:color="auto" w:fill="FFFFFF"/>
        </w:rPr>
        <w:t xml:space="preserve"> de </w:t>
      </w:r>
      <w:proofErr w:type="spellStart"/>
      <w:r w:rsidRPr="009C3DF7">
        <w:rPr>
          <w:rFonts w:cs="Arial"/>
          <w:sz w:val="24"/>
          <w:szCs w:val="24"/>
          <w:shd w:val="clear" w:color="auto" w:fill="FFFFFF"/>
        </w:rPr>
        <w:t>Bidasoa</w:t>
      </w:r>
      <w:proofErr w:type="spellEnd"/>
      <w:r w:rsidRPr="009C3DF7">
        <w:rPr>
          <w:rFonts w:cs="Arial"/>
          <w:sz w:val="24"/>
          <w:szCs w:val="24"/>
          <w:shd w:val="clear" w:color="auto" w:fill="FFFFFF"/>
        </w:rPr>
        <w:t xml:space="preserve">, un certain Lorenzo de </w:t>
      </w:r>
      <w:proofErr w:type="spellStart"/>
      <w:r w:rsidRPr="009C3DF7">
        <w:rPr>
          <w:rFonts w:cs="Arial"/>
          <w:sz w:val="24"/>
          <w:szCs w:val="24"/>
          <w:shd w:val="clear" w:color="auto" w:fill="FFFFFF"/>
        </w:rPr>
        <w:t>Hualde</w:t>
      </w:r>
      <w:proofErr w:type="spellEnd"/>
      <w:r w:rsidRPr="009C3DF7">
        <w:rPr>
          <w:rFonts w:cs="Arial"/>
          <w:sz w:val="24"/>
          <w:szCs w:val="24"/>
          <w:shd w:val="clear" w:color="auto" w:fill="FFFFFF"/>
        </w:rPr>
        <w:t xml:space="preserve">. C’était un jeune curé sévère, cupide et cruel. L’évêque Alonso de Salazar </w:t>
      </w:r>
      <w:proofErr w:type="spellStart"/>
      <w:r w:rsidRPr="009C3DF7">
        <w:rPr>
          <w:rFonts w:cs="Arial"/>
          <w:sz w:val="24"/>
          <w:szCs w:val="24"/>
          <w:shd w:val="clear" w:color="auto" w:fill="FFFFFF"/>
        </w:rPr>
        <w:t>Frías</w:t>
      </w:r>
      <w:proofErr w:type="spellEnd"/>
      <w:r w:rsidRPr="009C3DF7">
        <w:rPr>
          <w:rFonts w:cs="Arial"/>
          <w:sz w:val="24"/>
          <w:szCs w:val="24"/>
          <w:shd w:val="clear" w:color="auto" w:fill="FFFFFF"/>
        </w:rPr>
        <w:t xml:space="preserve">, dans sa vaste enquête sur les procès en sorcellerie, parle du Père </w:t>
      </w:r>
      <w:proofErr w:type="spellStart"/>
      <w:r w:rsidRPr="009C3DF7">
        <w:rPr>
          <w:rFonts w:cs="Arial"/>
          <w:sz w:val="24"/>
          <w:szCs w:val="24"/>
          <w:shd w:val="clear" w:color="auto" w:fill="FFFFFF"/>
        </w:rPr>
        <w:t>Hualde</w:t>
      </w:r>
      <w:proofErr w:type="spellEnd"/>
      <w:r w:rsidRPr="009C3DF7">
        <w:rPr>
          <w:rFonts w:cs="Arial"/>
          <w:sz w:val="24"/>
          <w:szCs w:val="24"/>
          <w:shd w:val="clear" w:color="auto" w:fill="FFFFFF"/>
        </w:rPr>
        <w:t>. Il dit que ce prélat convoquait ses paroissiens chez lui et les torturait pour leur faire avouer qu’ils pratiquaient la magie noire. Il allait même attraper de jeunes enfants pour les emprisonner dans son presbytère. Là, il les couvrait de crucifix et d’herbes bénites, puis il les affamait quelques jours, avant de les placer devant des tables remplies de mets délicieux. Il leur défendait de manger avant d’avoir admis qu’ils étaient des enfants-sorciers et de dénoncer leurs parents et amis. Les pauvres gamins avouaient tout ce qu’il voulait, pour pouvoir manger un peu</w:t>
      </w:r>
      <w:r w:rsidR="00CA15F3">
        <w:rPr>
          <w:rFonts w:cs="Arial"/>
          <w:sz w:val="24"/>
          <w:szCs w:val="24"/>
          <w:shd w:val="clear" w:color="auto" w:fill="FFFFFF"/>
        </w:rPr>
        <w:t>…</w:t>
      </w:r>
    </w:p>
    <w:p w:rsidR="001504A8" w:rsidRDefault="001504A8" w:rsidP="00067B64">
      <w:pPr>
        <w:autoSpaceDE w:val="0"/>
        <w:autoSpaceDN w:val="0"/>
        <w:adjustRightInd w:val="0"/>
        <w:spacing w:after="0" w:line="240" w:lineRule="auto"/>
        <w:jc w:val="both"/>
        <w:rPr>
          <w:rFonts w:cs="ITCGaramondStd-Lt"/>
          <w:color w:val="000000"/>
          <w:sz w:val="24"/>
          <w:szCs w:val="24"/>
        </w:rPr>
      </w:pPr>
    </w:p>
    <w:p w:rsidR="00CA15F3" w:rsidRDefault="00CA15F3" w:rsidP="00CA15F3">
      <w:pPr>
        <w:autoSpaceDE w:val="0"/>
        <w:autoSpaceDN w:val="0"/>
        <w:adjustRightInd w:val="0"/>
        <w:spacing w:after="0" w:line="240" w:lineRule="auto"/>
        <w:jc w:val="both"/>
        <w:rPr>
          <w:rFonts w:cs="ITCGaramondStd-LtIta"/>
          <w:iCs/>
          <w:color w:val="FF0000"/>
          <w:sz w:val="24"/>
          <w:szCs w:val="24"/>
          <w:u w:val="single"/>
        </w:rPr>
      </w:pPr>
      <w:r>
        <w:rPr>
          <w:rFonts w:cs="ITCGaramondStd-LtIta"/>
          <w:iCs/>
          <w:color w:val="FF0000"/>
          <w:sz w:val="24"/>
          <w:szCs w:val="24"/>
          <w:u w:val="single"/>
        </w:rPr>
        <w:t xml:space="preserve">La </w:t>
      </w:r>
      <w:proofErr w:type="spellStart"/>
      <w:r>
        <w:rPr>
          <w:rFonts w:cs="ITCGaramondStd-LtIta"/>
          <w:iCs/>
          <w:color w:val="FF0000"/>
          <w:sz w:val="24"/>
          <w:szCs w:val="24"/>
          <w:u w:val="single"/>
        </w:rPr>
        <w:t>Belhara</w:t>
      </w:r>
      <w:proofErr w:type="spellEnd"/>
    </w:p>
    <w:p w:rsidR="00CA15F3" w:rsidRDefault="00CA15F3" w:rsidP="00067B64">
      <w:pPr>
        <w:autoSpaceDE w:val="0"/>
        <w:autoSpaceDN w:val="0"/>
        <w:adjustRightInd w:val="0"/>
        <w:spacing w:after="0" w:line="240" w:lineRule="auto"/>
        <w:jc w:val="both"/>
        <w:rPr>
          <w:rFonts w:cs="ITCGaramondStd-Lt"/>
          <w:color w:val="000000"/>
          <w:sz w:val="24"/>
          <w:szCs w:val="24"/>
        </w:rPr>
      </w:pPr>
    </w:p>
    <w:p w:rsidR="009C3DF7" w:rsidRPr="009C3DF7" w:rsidRDefault="009C3DF7" w:rsidP="00CA15F3">
      <w:pPr>
        <w:autoSpaceDE w:val="0"/>
        <w:autoSpaceDN w:val="0"/>
        <w:adjustRightInd w:val="0"/>
        <w:spacing w:after="0" w:line="240" w:lineRule="auto"/>
        <w:jc w:val="both"/>
        <w:rPr>
          <w:rFonts w:cs="ITCGaramondStd-Lt"/>
          <w:sz w:val="24"/>
          <w:szCs w:val="24"/>
        </w:rPr>
      </w:pPr>
      <w:r>
        <w:rPr>
          <w:rFonts w:cs="ITCGaramondStd-Lt"/>
          <w:sz w:val="24"/>
          <w:szCs w:val="24"/>
        </w:rPr>
        <w:t>N</w:t>
      </w:r>
      <w:r w:rsidRPr="009C3DF7">
        <w:rPr>
          <w:rFonts w:cs="ITCGaramondStd-Lt"/>
          <w:sz w:val="24"/>
          <w:szCs w:val="24"/>
        </w:rPr>
        <w:t>on loin de Socoa, à un mille et demi au large de la</w:t>
      </w:r>
      <w:r>
        <w:rPr>
          <w:rFonts w:cs="ITCGaramondStd-Lt"/>
          <w:sz w:val="24"/>
          <w:szCs w:val="24"/>
        </w:rPr>
        <w:t xml:space="preserve"> </w:t>
      </w:r>
      <w:r w:rsidRPr="009C3DF7">
        <w:rPr>
          <w:rFonts w:cs="ITCGaramondStd-Lt"/>
          <w:sz w:val="24"/>
          <w:szCs w:val="24"/>
        </w:rPr>
        <w:t>Corniche Basque, s’élève brusquement, sur les fonds</w:t>
      </w:r>
      <w:r>
        <w:rPr>
          <w:rFonts w:cs="ITCGaramondStd-Lt"/>
          <w:sz w:val="24"/>
          <w:szCs w:val="24"/>
        </w:rPr>
        <w:t xml:space="preserve"> </w:t>
      </w:r>
      <w:r w:rsidRPr="009C3DF7">
        <w:rPr>
          <w:rFonts w:cs="ITCGaramondStd-Lt"/>
          <w:sz w:val="24"/>
          <w:szCs w:val="24"/>
        </w:rPr>
        <w:t>sableux, un imposant chaos sous-marin de roches</w:t>
      </w:r>
      <w:r>
        <w:rPr>
          <w:rFonts w:cs="ITCGaramondStd-Lt"/>
          <w:sz w:val="24"/>
          <w:szCs w:val="24"/>
        </w:rPr>
        <w:t xml:space="preserve"> </w:t>
      </w:r>
      <w:r w:rsidRPr="009C3DF7">
        <w:rPr>
          <w:rFonts w:cs="ITCGaramondStd-Lt"/>
          <w:sz w:val="24"/>
          <w:szCs w:val="24"/>
        </w:rPr>
        <w:t>bosselées, que l’océan chahute</w:t>
      </w:r>
      <w:r>
        <w:rPr>
          <w:rFonts w:cs="ITCGaramondStd-Lt"/>
          <w:sz w:val="24"/>
          <w:szCs w:val="24"/>
        </w:rPr>
        <w:t xml:space="preserve"> </w:t>
      </w:r>
      <w:r w:rsidRPr="009C3DF7">
        <w:rPr>
          <w:rFonts w:cs="ITCGaramondStd-Lt"/>
          <w:sz w:val="24"/>
          <w:szCs w:val="24"/>
        </w:rPr>
        <w:t>inlassablement, leur arrachant un</w:t>
      </w:r>
      <w:r w:rsidR="00CA15F3">
        <w:rPr>
          <w:rFonts w:cs="ITCGaramondStd-Lt"/>
          <w:sz w:val="24"/>
          <w:szCs w:val="24"/>
        </w:rPr>
        <w:t xml:space="preserve"> </w:t>
      </w:r>
      <w:r w:rsidRPr="009C3DF7">
        <w:rPr>
          <w:rFonts w:cs="ITCGaramondStd-Lt"/>
          <w:sz w:val="24"/>
          <w:szCs w:val="24"/>
        </w:rPr>
        <w:t>à un des galets multicolores.</w:t>
      </w:r>
    </w:p>
    <w:p w:rsidR="009C3DF7" w:rsidRDefault="009C3DF7" w:rsidP="00CA15F3">
      <w:pPr>
        <w:autoSpaceDE w:val="0"/>
        <w:autoSpaceDN w:val="0"/>
        <w:adjustRightInd w:val="0"/>
        <w:spacing w:after="0" w:line="240" w:lineRule="auto"/>
        <w:rPr>
          <w:rFonts w:cs="ITCGaramondStd-Lt"/>
          <w:sz w:val="24"/>
          <w:szCs w:val="24"/>
        </w:rPr>
      </w:pPr>
      <w:r w:rsidRPr="009C3DF7">
        <w:rPr>
          <w:rFonts w:cs="ITCGaramondStd-Lt"/>
          <w:sz w:val="24"/>
          <w:szCs w:val="24"/>
        </w:rPr>
        <w:t>Les Pêcheurs d’</w:t>
      </w:r>
      <w:proofErr w:type="spellStart"/>
      <w:r w:rsidRPr="009C3DF7">
        <w:rPr>
          <w:rFonts w:cs="ITCGaramondStd-Lt"/>
          <w:sz w:val="24"/>
          <w:szCs w:val="24"/>
        </w:rPr>
        <w:t>Iparralde</w:t>
      </w:r>
      <w:proofErr w:type="spellEnd"/>
      <w:r w:rsidRPr="009C3DF7">
        <w:rPr>
          <w:rFonts w:cs="ITCGaramondStd-Lt"/>
          <w:sz w:val="24"/>
          <w:szCs w:val="24"/>
        </w:rPr>
        <w:t xml:space="preserve"> ont appelé </w:t>
      </w:r>
      <w:proofErr w:type="spellStart"/>
      <w:r w:rsidRPr="009C3DF7">
        <w:rPr>
          <w:rFonts w:cs="ITCGaramondStd-LtIta"/>
          <w:i/>
          <w:iCs/>
          <w:sz w:val="24"/>
          <w:szCs w:val="24"/>
        </w:rPr>
        <w:t>Belhara</w:t>
      </w:r>
      <w:proofErr w:type="spellEnd"/>
      <w:r w:rsidRPr="009C3DF7">
        <w:rPr>
          <w:rFonts w:cs="ITCGaramondStd-LtIta"/>
          <w:i/>
          <w:iCs/>
          <w:sz w:val="24"/>
          <w:szCs w:val="24"/>
        </w:rPr>
        <w:t xml:space="preserve"> </w:t>
      </w:r>
      <w:proofErr w:type="spellStart"/>
      <w:r w:rsidRPr="009C3DF7">
        <w:rPr>
          <w:rFonts w:cs="ITCGaramondStd-LtIta"/>
          <w:i/>
          <w:iCs/>
          <w:sz w:val="24"/>
          <w:szCs w:val="24"/>
        </w:rPr>
        <w:t>Perdun</w:t>
      </w:r>
      <w:proofErr w:type="spellEnd"/>
      <w:r w:rsidRPr="009C3DF7">
        <w:rPr>
          <w:rFonts w:cs="ITCGaramondStd-LtIta"/>
          <w:i/>
          <w:iCs/>
          <w:sz w:val="24"/>
          <w:szCs w:val="24"/>
        </w:rPr>
        <w:t xml:space="preserve"> </w:t>
      </w:r>
      <w:r w:rsidRPr="009C3DF7">
        <w:rPr>
          <w:rFonts w:cs="ITCGaramondStd-Lt"/>
          <w:sz w:val="24"/>
          <w:szCs w:val="24"/>
        </w:rPr>
        <w:t>ce labyrinthe</w:t>
      </w:r>
      <w:r w:rsidR="00CA15F3">
        <w:rPr>
          <w:rFonts w:cs="ITCGaramondStd-Lt"/>
          <w:sz w:val="24"/>
          <w:szCs w:val="24"/>
        </w:rPr>
        <w:t xml:space="preserve"> </w:t>
      </w:r>
      <w:r w:rsidRPr="009C3DF7">
        <w:rPr>
          <w:rFonts w:cs="ITCGaramondStd-Lt"/>
          <w:sz w:val="24"/>
          <w:szCs w:val="24"/>
        </w:rPr>
        <w:t>aquatique</w:t>
      </w:r>
      <w:r w:rsidR="00CA15F3">
        <w:rPr>
          <w:rFonts w:cs="ITCGaramondStd-Lt"/>
          <w:sz w:val="24"/>
          <w:szCs w:val="24"/>
        </w:rPr>
        <w:t>…</w:t>
      </w:r>
    </w:p>
    <w:p w:rsidR="00CA15F3" w:rsidRPr="009C3DF7" w:rsidRDefault="00CA15F3" w:rsidP="00CA15F3">
      <w:pPr>
        <w:autoSpaceDE w:val="0"/>
        <w:autoSpaceDN w:val="0"/>
        <w:adjustRightInd w:val="0"/>
        <w:spacing w:after="0" w:line="240" w:lineRule="auto"/>
        <w:rPr>
          <w:rFonts w:cs="ITCGaramondStd-Lt"/>
          <w:color w:val="000000"/>
          <w:sz w:val="24"/>
          <w:szCs w:val="24"/>
        </w:rPr>
      </w:pPr>
    </w:p>
    <w:p w:rsidR="002641B7" w:rsidRDefault="00CA6DD3" w:rsidP="00C72068">
      <w:pPr>
        <w:autoSpaceDE w:val="0"/>
        <w:autoSpaceDN w:val="0"/>
        <w:adjustRightInd w:val="0"/>
        <w:spacing w:after="0" w:line="240" w:lineRule="auto"/>
        <w:jc w:val="both"/>
        <w:rPr>
          <w:rFonts w:cs="ITCGaramondStd-Lt"/>
          <w:color w:val="000000"/>
          <w:sz w:val="24"/>
          <w:szCs w:val="24"/>
        </w:rPr>
      </w:pPr>
      <w:r>
        <w:rPr>
          <w:rFonts w:cs="ITCGaramondStd-Lt"/>
          <w:color w:val="000000"/>
          <w:sz w:val="24"/>
          <w:szCs w:val="24"/>
        </w:rPr>
        <w:t xml:space="preserve">Si vous souhaitez </w:t>
      </w:r>
      <w:r w:rsidR="009C3DF7">
        <w:rPr>
          <w:rFonts w:cs="ITCGaramondStd-Lt"/>
          <w:color w:val="000000"/>
          <w:sz w:val="24"/>
          <w:szCs w:val="24"/>
        </w:rPr>
        <w:t>en savoir plus et si vous aimez le Pays Basque</w:t>
      </w:r>
      <w:r>
        <w:rPr>
          <w:rFonts w:cs="ITCGaramondStd-Lt"/>
          <w:color w:val="000000"/>
          <w:sz w:val="24"/>
          <w:szCs w:val="24"/>
        </w:rPr>
        <w:t xml:space="preserve">, vous pouvez nous commander le livre </w:t>
      </w:r>
      <w:r w:rsidR="00C72068">
        <w:rPr>
          <w:rFonts w:cs="ITCGaramondStd-Lt"/>
          <w:color w:val="000000"/>
          <w:sz w:val="24"/>
          <w:szCs w:val="24"/>
        </w:rPr>
        <w:t xml:space="preserve">par internet </w:t>
      </w:r>
      <w:r>
        <w:rPr>
          <w:rFonts w:cs="ITCGaramondStd-Lt"/>
          <w:color w:val="000000"/>
          <w:sz w:val="24"/>
          <w:szCs w:val="24"/>
        </w:rPr>
        <w:t>et nous vous offrons les frais de livraison.</w:t>
      </w:r>
      <w:r w:rsidR="00C72068">
        <w:rPr>
          <w:rFonts w:cs="ITCGaramondStd-Lt"/>
          <w:color w:val="000000"/>
          <w:sz w:val="24"/>
          <w:szCs w:val="24"/>
        </w:rPr>
        <w:t xml:space="preserve"> Règlement à la commande par virement ou chèque à l’ordre des Editions de la Rhune.</w:t>
      </w:r>
    </w:p>
    <w:p w:rsidR="00DB1BDE" w:rsidRDefault="00DB1BDE" w:rsidP="001504A8">
      <w:pPr>
        <w:autoSpaceDE w:val="0"/>
        <w:autoSpaceDN w:val="0"/>
        <w:adjustRightInd w:val="0"/>
        <w:spacing w:after="0" w:line="240" w:lineRule="auto"/>
        <w:rPr>
          <w:rFonts w:cs="ITCGaramondStd-Lt"/>
          <w:color w:val="000000"/>
          <w:sz w:val="24"/>
          <w:szCs w:val="24"/>
        </w:rPr>
      </w:pPr>
    </w:p>
    <w:p w:rsidR="001504A8" w:rsidRPr="00604D98" w:rsidRDefault="001504A8" w:rsidP="001504A8">
      <w:pPr>
        <w:autoSpaceDE w:val="0"/>
        <w:autoSpaceDN w:val="0"/>
        <w:adjustRightInd w:val="0"/>
        <w:spacing w:after="0" w:line="240" w:lineRule="auto"/>
        <w:rPr>
          <w:rFonts w:cs="ITCGaramondStd-Lt"/>
          <w:color w:val="000000"/>
          <w:sz w:val="24"/>
          <w:szCs w:val="24"/>
        </w:rPr>
      </w:pPr>
      <w:r w:rsidRPr="00604D98">
        <w:rPr>
          <w:rFonts w:cs="ITCGaramondStd-Lt"/>
          <w:color w:val="000000"/>
          <w:sz w:val="24"/>
          <w:szCs w:val="24"/>
        </w:rPr>
        <w:t xml:space="preserve">Prix : </w:t>
      </w:r>
      <w:r w:rsidR="009C3DF7">
        <w:rPr>
          <w:rFonts w:cs="ITCGaramondStd-Lt"/>
          <w:color w:val="000000"/>
          <w:sz w:val="24"/>
          <w:szCs w:val="24"/>
        </w:rPr>
        <w:t>15</w:t>
      </w:r>
      <w:r w:rsidRPr="00604D98">
        <w:rPr>
          <w:rFonts w:cs="ITCGaramondStd-Lt"/>
          <w:color w:val="000000"/>
          <w:sz w:val="24"/>
          <w:szCs w:val="24"/>
        </w:rPr>
        <w:t xml:space="preserve"> €</w:t>
      </w:r>
    </w:p>
    <w:p w:rsidR="006077F8" w:rsidRDefault="001504A8" w:rsidP="006077F8">
      <w:pPr>
        <w:autoSpaceDE w:val="0"/>
        <w:autoSpaceDN w:val="0"/>
        <w:adjustRightInd w:val="0"/>
        <w:spacing w:after="0" w:line="240" w:lineRule="auto"/>
        <w:rPr>
          <w:rFonts w:cs="ITCGaramondStd-Lt"/>
          <w:color w:val="000000"/>
          <w:sz w:val="24"/>
          <w:szCs w:val="24"/>
        </w:rPr>
      </w:pPr>
      <w:r w:rsidRPr="00604D98">
        <w:rPr>
          <w:rFonts w:cs="ITCGaramondStd-Lt"/>
          <w:color w:val="000000"/>
          <w:sz w:val="24"/>
          <w:szCs w:val="24"/>
        </w:rPr>
        <w:t xml:space="preserve">ISBN : </w:t>
      </w:r>
      <w:r w:rsidR="00B85586" w:rsidRPr="00604D98">
        <w:rPr>
          <w:rFonts w:cs="ITCGaramondStd-Lt"/>
          <w:color w:val="000000"/>
          <w:sz w:val="24"/>
          <w:szCs w:val="24"/>
        </w:rPr>
        <w:t xml:space="preserve">ISBN : </w:t>
      </w:r>
      <w:r w:rsidR="00B85586" w:rsidRPr="00245FD0">
        <w:rPr>
          <w:rFonts w:cs="ITCGaramondStd-Lt"/>
          <w:color w:val="000000"/>
          <w:sz w:val="24"/>
          <w:szCs w:val="24"/>
        </w:rPr>
        <w:t>979</w:t>
      </w:r>
      <w:r w:rsidR="00B85586">
        <w:rPr>
          <w:rFonts w:cs="ITCGaramondStd-Lt"/>
          <w:color w:val="000000"/>
          <w:sz w:val="24"/>
          <w:szCs w:val="24"/>
        </w:rPr>
        <w:t>-</w:t>
      </w:r>
      <w:r w:rsidR="00B85586" w:rsidRPr="00245FD0">
        <w:rPr>
          <w:rFonts w:cs="ITCGaramondStd-Lt"/>
          <w:color w:val="000000"/>
          <w:sz w:val="24"/>
          <w:szCs w:val="24"/>
        </w:rPr>
        <w:t>10</w:t>
      </w:r>
      <w:r w:rsidR="00B85586">
        <w:rPr>
          <w:rFonts w:cs="ITCGaramondStd-Lt"/>
          <w:color w:val="000000"/>
          <w:sz w:val="24"/>
          <w:szCs w:val="24"/>
        </w:rPr>
        <w:t>-</w:t>
      </w:r>
      <w:r w:rsidR="00B85586" w:rsidRPr="00245FD0">
        <w:rPr>
          <w:rFonts w:cs="ITCGaramondStd-Lt"/>
          <w:color w:val="000000"/>
          <w:sz w:val="24"/>
          <w:szCs w:val="24"/>
        </w:rPr>
        <w:t>92229</w:t>
      </w:r>
      <w:r w:rsidR="00B85586">
        <w:rPr>
          <w:rFonts w:cs="ITCGaramondStd-Lt"/>
          <w:color w:val="000000"/>
          <w:sz w:val="24"/>
          <w:szCs w:val="24"/>
        </w:rPr>
        <w:t>-</w:t>
      </w:r>
      <w:r w:rsidR="00B85586" w:rsidRPr="00245FD0">
        <w:rPr>
          <w:rFonts w:cs="ITCGaramondStd-Lt"/>
          <w:color w:val="000000"/>
          <w:sz w:val="24"/>
          <w:szCs w:val="24"/>
        </w:rPr>
        <w:t>10</w:t>
      </w:r>
      <w:r w:rsidR="00B85586">
        <w:rPr>
          <w:rFonts w:cs="ITCGaramondStd-Lt"/>
          <w:color w:val="000000"/>
          <w:sz w:val="24"/>
          <w:szCs w:val="24"/>
        </w:rPr>
        <w:t>-</w:t>
      </w:r>
      <w:r w:rsidR="00B85586" w:rsidRPr="00245FD0">
        <w:rPr>
          <w:rFonts w:cs="ITCGaramondStd-Lt"/>
          <w:color w:val="000000"/>
          <w:sz w:val="24"/>
          <w:szCs w:val="24"/>
        </w:rPr>
        <w:t>3</w:t>
      </w:r>
      <w:r w:rsidR="00B85586">
        <w:rPr>
          <w:rFonts w:cs="ITCGaramondStd-Lt"/>
          <w:color w:val="000000"/>
          <w:sz w:val="24"/>
          <w:szCs w:val="24"/>
        </w:rPr>
        <w:t xml:space="preserve">   </w:t>
      </w:r>
    </w:p>
    <w:p w:rsidR="008823B0" w:rsidRPr="00067B64" w:rsidRDefault="00CA6DD3" w:rsidP="006077F8">
      <w:pPr>
        <w:autoSpaceDE w:val="0"/>
        <w:autoSpaceDN w:val="0"/>
        <w:adjustRightInd w:val="0"/>
        <w:spacing w:after="0" w:line="240" w:lineRule="auto"/>
        <w:rPr>
          <w:rFonts w:cs="ITCGaramondStd-Lt"/>
          <w:i/>
          <w:color w:val="FF0000"/>
          <w:sz w:val="24"/>
          <w:szCs w:val="24"/>
          <w:u w:val="single"/>
        </w:rPr>
      </w:pPr>
      <w:r>
        <w:rPr>
          <w:noProof/>
          <w:lang w:eastAsia="fr-FR"/>
        </w:rPr>
        <w:drawing>
          <wp:inline distT="0" distB="0" distL="0" distR="0" wp14:anchorId="109F4FBA" wp14:editId="1C89EF11">
            <wp:extent cx="3048000" cy="971341"/>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58309" cy="974626"/>
                    </a:xfrm>
                    <a:prstGeom prst="rect">
                      <a:avLst/>
                    </a:prstGeom>
                  </pic:spPr>
                </pic:pic>
              </a:graphicData>
            </a:graphic>
          </wp:inline>
        </w:drawing>
      </w:r>
    </w:p>
    <w:sectPr w:rsidR="008823B0" w:rsidRPr="00067B64" w:rsidSect="00CA15F3">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GaramondStd-LtIt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GaramondStd-L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A8"/>
    <w:rsid w:val="00067B64"/>
    <w:rsid w:val="001504A8"/>
    <w:rsid w:val="00256A28"/>
    <w:rsid w:val="002641B7"/>
    <w:rsid w:val="0049376B"/>
    <w:rsid w:val="00497DDD"/>
    <w:rsid w:val="00545494"/>
    <w:rsid w:val="005C0A9D"/>
    <w:rsid w:val="005D62D9"/>
    <w:rsid w:val="005F6259"/>
    <w:rsid w:val="00604D98"/>
    <w:rsid w:val="006077F8"/>
    <w:rsid w:val="00731F95"/>
    <w:rsid w:val="00827549"/>
    <w:rsid w:val="008823B0"/>
    <w:rsid w:val="009C3DF7"/>
    <w:rsid w:val="00A546C3"/>
    <w:rsid w:val="00A7796D"/>
    <w:rsid w:val="00B8227B"/>
    <w:rsid w:val="00B85586"/>
    <w:rsid w:val="00C34F80"/>
    <w:rsid w:val="00C72068"/>
    <w:rsid w:val="00CA15F3"/>
    <w:rsid w:val="00CA6DD3"/>
    <w:rsid w:val="00DB1BDE"/>
    <w:rsid w:val="00DC53ED"/>
    <w:rsid w:val="00ED7BC0"/>
    <w:rsid w:val="00EE7961"/>
    <w:rsid w:val="00F2577B"/>
    <w:rsid w:val="00F75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62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259"/>
    <w:rPr>
      <w:rFonts w:ascii="Tahoma" w:hAnsi="Tahoma" w:cs="Tahoma"/>
      <w:sz w:val="16"/>
      <w:szCs w:val="16"/>
    </w:rPr>
  </w:style>
  <w:style w:type="character" w:styleId="Accentuation">
    <w:name w:val="Emphasis"/>
    <w:basedOn w:val="Policepardfaut"/>
    <w:uiPriority w:val="20"/>
    <w:qFormat/>
    <w:rsid w:val="009C3D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62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259"/>
    <w:rPr>
      <w:rFonts w:ascii="Tahoma" w:hAnsi="Tahoma" w:cs="Tahoma"/>
      <w:sz w:val="16"/>
      <w:szCs w:val="16"/>
    </w:rPr>
  </w:style>
  <w:style w:type="character" w:styleId="Accentuation">
    <w:name w:val="Emphasis"/>
    <w:basedOn w:val="Policepardfaut"/>
    <w:uiPriority w:val="20"/>
    <w:qFormat/>
    <w:rsid w:val="009C3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274</Words>
  <Characters>1509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Marie NOUSBAUM</dc:creator>
  <cp:lastModifiedBy>PP</cp:lastModifiedBy>
  <cp:revision>9</cp:revision>
  <dcterms:created xsi:type="dcterms:W3CDTF">2016-07-19T08:13:00Z</dcterms:created>
  <dcterms:modified xsi:type="dcterms:W3CDTF">2016-10-12T07:56:00Z</dcterms:modified>
</cp:coreProperties>
</file>